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6"/>
          <w:szCs w:val="26"/>
        </w:rPr>
      </w:pPr>
      <w:r w:rsidDel="00000000" w:rsidR="00000000" w:rsidRPr="00000000">
        <w:rPr>
          <w:rFonts w:ascii="Arial Narrow" w:cs="Arial Narrow" w:eastAsia="Arial Narrow" w:hAnsi="Arial Narrow"/>
          <w:b w:val="1"/>
          <w:color w:val="404040"/>
          <w:sz w:val="28"/>
          <w:szCs w:val="28"/>
          <w:rtl w:val="0"/>
        </w:rPr>
        <w:t xml:space="preserve">CAF y BEI cofinanciarán proyectos de acción climática que dinamicen el empleo </w:t>
      </w:r>
      <w:r w:rsidDel="00000000" w:rsidR="00000000" w:rsidRPr="00000000">
        <w:rPr>
          <w:rFonts w:ascii="Arial Narrow" w:cs="Arial Narrow" w:eastAsia="Arial Narrow" w:hAnsi="Arial Narrow"/>
          <w:b w:val="1"/>
          <w:color w:val="404040"/>
          <w:sz w:val="26"/>
          <w:szCs w:val="26"/>
          <w:rtl w:val="0"/>
        </w:rPr>
        <w:t xml:space="preserve">y la competitividad en América Latina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rPr>
      </w:pPr>
      <w:r w:rsidDel="00000000" w:rsidR="00000000" w:rsidRPr="00000000">
        <w:rPr>
          <w:rFonts w:ascii="Arial Narrow" w:cs="Arial Narrow" w:eastAsia="Arial Narrow" w:hAnsi="Arial Narrow"/>
          <w:i w:val="1"/>
          <w:color w:val="808080"/>
          <w:rtl w:val="0"/>
        </w:rPr>
        <w:t xml:space="preserve">Mediante la firma de un marco de colaboración de cofinanciamiento podrán canalizarse recursos financieros desde la Unión Europea para la acción climática en sectores estratégicos como transporte, energía, agua y saneamiento, desarrollo urbano, salud, educación e intermediación financiera dirigida a pymes, entre otros.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18</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diciembre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color w:val="222222"/>
          <w:rtl w:val="0"/>
        </w:rPr>
        <w:t xml:space="preserve">La pandemia del COVID-19 ha dejado en evidencia la necesidad de la cooperación internacional para mitigar sus efectos adversos y para promover el bienestar y la reactivación económica y social de los países cuando más lo necesitan, manteniendo la acción climática como un criterio fundamental en las intervenciones. CAF –banco de desarrollo de América Latina- y el Banco Europeo de Inversiones (BEI) capitalizan sus fortalezas complementarias y las colocan al servicio del desarrollo sostenible y la integración de América Latina y el Caribe para mitigar la brecha de inversión en infraestructura.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y el BEI firmaron un Marco de Colaboración de Cofinanciamiento para el apoyo europeo a América Latina y el Caribe para paliar los daños de la pandemia del COVID-19 y fomentar la recuperación económica post-pandemia.  El Acuerdo plantea un marco para co-financiamiento por USD 500 millones, en beneficio de sectores como transporte, energía, agua y saneamiento, desarrollo urbano, salud, educación e intermediación financiera dirigida a pymes, entre otros sectores estratégicos para ambas instituciones.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“Las inversiones en infraestructura de integración en la región son fundamentales para impulsar la reactivación económica y social por su efecto positivo en la generación de empleo, el crecimiento económico y el aumento de la productividad. Somos un socio clave para el desarrollo de nuestros países accionistas y buscamos complementarnos con aliados estratégicos como el BEI en esta oportunidad para atraer recursos que nos permitan ejecutar las obras que promueven la competitividad”, destacó Luis Carranza Ugarte, presidente ejecutivo de CAF.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vicepresidente del BEI, Ricardo Mourinho Félix, responsable de América Latina señaló: “La firma de este Marco de Colaboración pone de manifiesto el compromiso del Banco Europeo de Inversiones con América Latina y el Caribe en estos momentos tan complicados. La CAF es uno de nuestros socios clave y a través de este esfuerzo conjunto vamos a apoyar a los países y empresas de la región para hacer frente al impacto económico y social provocado por el COVID-19. Este acuerdo nos permitirá identificar y fomentar oportunidades de inversión en sectores de interés común que potencien una recuperación económica sostenible e inclusiva, y que contribuyan a la lucha contra el cambio climático”.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ha identificado más de 400 proyectos de infraestructura de integración y digital en 11 subsectores, todos ellos alineados con los 17 Objetivos de Desarrollo Sostenible y el Acuerdo de París en la lucha contra el cambio climático. Estas iniciativas han sido priorizadas por la calidad de su estructuración, rápida ejecución y el acompañamiento especializado de sus expertos, que pueden impulsar la generación de empleo y el crecimiento económico de América Latina y el Caribe.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BEI proporciona apoyo económico a proyectos en América Latina facilitando la inversión a largo plazo con condiciones favorables y proporcionando el apoyo técnico necesario para garantizar que estos proyectos logren resultados positivos en los ámbitos social, económico y medioambiental. Desde que el BEI inició sus operaciones en América Latina en 1993, ha aportado una financiación total de 8 400 millones de EUR que ha permitido ofrecer apoyo a 117 proyectos en 14 países de la región.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3">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5">
      <w:pPr>
        <w:shd w:fill="ffffff" w:val="clea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p>
    <w:p w:rsidR="00000000" w:rsidDel="00000000" w:rsidP="00000000" w:rsidRDefault="00000000" w:rsidRPr="00000000" w14:paraId="00000016">
      <w:pPr>
        <w:shd w:fill="ffffff" w:val="clea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7">
      <w:pPr>
        <w:shd w:fill="ffffff" w:val="clea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8">
      <w:pPr>
        <w:shd w:fill="ffffff" w:val="clea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19">
      <w:pPr>
        <w:shd w:fill="ffffff" w:val="clea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Acerca del BEI:</w:t>
      </w:r>
    </w:p>
    <w:p w:rsidR="00000000" w:rsidDel="00000000" w:rsidP="00000000" w:rsidRDefault="00000000" w:rsidRPr="00000000" w14:paraId="0000001A">
      <w:pPr>
        <w:shd w:fill="ffffff" w:val="clea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1B">
      <w:pPr>
        <w:shd w:fill="ffffff" w:val="clea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 Banco Europeo de Inversiones (BEI) es la institución de financiación a largo plazo de la Unión Europea cuyos accionistas son los Estados miembros de la UE. El BEI facilita financiación a largo plazo a proyectos de inversión viables con el fin de contribuir al logro de los objetivos de la política de la UE tanto dentro como fuera de Europa. El BEI está presente en más de 160 países. Es la mayor entidad financiera mundial para la financiación de inversiones relacionadas con el clima, con 100 000 millones de dólares estadounidenses comprometidos para la acción por el clima en el período comprendido entre 2016 y 2020, en apoyo del Acuerdo de París.</w:t>
      </w:r>
    </w:p>
    <w:sectPr>
      <w:head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-276224</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